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256F1"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Fonts w:ascii="Microsoft YaHei UI" w:hAnsi="Microsoft YaHei UI" w:eastAsia="Microsoft YaHei UI" w:cs="Microsoft YaHei UI"/>
          <w:b/>
          <w:bCs/>
          <w:i w:val="0"/>
          <w:iCs w:val="0"/>
          <w:spacing w:val="7"/>
          <w:sz w:val="25"/>
          <w:szCs w:val="25"/>
        </w:rPr>
        <w:t>附件1：四川学前教育发展研究中心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spacing w:val="7"/>
          <w:sz w:val="25"/>
          <w:szCs w:val="25"/>
        </w:rPr>
        <w:t>2025年课题选题指南</w:t>
      </w:r>
    </w:p>
    <w:bookmarkEnd w:id="0"/>
    <w:p w14:paraId="5AE90D3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以习近平新时代中国特色社会主义思想为指导，深入贯彻党的教育方针和二十大精神，全面落实《教育强国建设规划纲要（2024-2035年）》《深化新时代教育评价改革总体方案》《幼儿园保育教育质量评估指南》《中华人民共和国学前教育法》等法律法规和相关文件精神，聚焦0-6岁儿童教育发展中的关键性问题，充分发挥教育智库的学术引领和联合科研攻关作用，特编制四川学前教育发展研究中心2025年度课题指南。</w:t>
      </w:r>
    </w:p>
    <w:p w14:paraId="1C89C7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1.人工智能背景下学前教育人才培养模式创新研究</w:t>
      </w:r>
    </w:p>
    <w:p w14:paraId="03DA20F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2.基于产教融合的学前教育专业人才培养综合改革</w:t>
      </w:r>
    </w:p>
    <w:p w14:paraId="0FC00B2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3.跨学科学前教育专业人才培养模式改革研究</w:t>
      </w:r>
    </w:p>
    <w:p w14:paraId="3A28F0D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4.新时代教育家精神视角下幼儿教师教育理念与实践</w:t>
      </w:r>
    </w:p>
    <w:p w14:paraId="145202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5.新时代教育家精神引领下幼儿园教师队伍文化建设</w:t>
      </w:r>
    </w:p>
    <w:p w14:paraId="2C4B2E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6.乡村振兴战略下学前教育发展制度建设研究</w:t>
      </w:r>
    </w:p>
    <w:p w14:paraId="30E424E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7.民族地区学前教育高质量发展的典型案例研究</w:t>
      </w:r>
    </w:p>
    <w:p w14:paraId="358AA4D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8.学前教育质量评估体系建构研究</w:t>
      </w:r>
    </w:p>
    <w:p w14:paraId="1C5A61D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9.高质量师幼互动实践研究</w:t>
      </w:r>
    </w:p>
    <w:p w14:paraId="7D1BC7A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10.儿童发展导向的多元评价研究</w:t>
      </w:r>
    </w:p>
    <w:p w14:paraId="6F1D828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11.幼儿情绪与行为相关实验及案例研究</w:t>
      </w:r>
    </w:p>
    <w:p w14:paraId="6A86959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12.2-3岁婴幼儿安全、情感依恋环境及课程实施环境创设研究</w:t>
      </w:r>
    </w:p>
    <w:p w14:paraId="3CF6A0E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13.2-3岁婴幼儿动作发展实践研究</w:t>
      </w:r>
    </w:p>
    <w:p w14:paraId="79324B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14.2-3岁婴幼儿艺术活动案例研究</w:t>
      </w:r>
    </w:p>
    <w:p w14:paraId="5E116B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15.2-3岁婴幼儿自然探索、感官体验、角色扮演案例研究</w:t>
      </w:r>
    </w:p>
    <w:p w14:paraId="65F3461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16.2-3岁婴幼儿互动式阅读绘本及观察记录案例研究</w:t>
      </w:r>
    </w:p>
    <w:p w14:paraId="318C6E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17.2-3岁婴幼儿运动游戏及教具开发、环境材料投放案例研究</w:t>
      </w:r>
    </w:p>
    <w:p w14:paraId="5918C05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firstLine="420"/>
      </w:pPr>
      <w:r>
        <w:rPr>
          <w:rFonts w:hint="eastAsia" w:ascii="宋体" w:hAnsi="宋体" w:eastAsia="宋体" w:cs="宋体"/>
          <w:sz w:val="21"/>
          <w:szCs w:val="21"/>
        </w:rPr>
        <w:t>18.托育机构教师专业成长支持研究</w:t>
      </w:r>
    </w:p>
    <w:p w14:paraId="7E9ADEA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654E"/>
    <w:rsid w:val="626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2025-03-12T08:14:00Z</dcterms:created>
  <dc:creator>千翻儿</dc:creator>
  <cp:lastModifiedBy>千翻儿</cp:lastModifiedBy>
  <dcterms:modified xsi:type="dcterms:W3CDTF">2025-03-12T08:16:33Z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0BE4F645A4794B55B4A54735FAAB7358_11</vt:lpwstr>
  </property>
  <property fmtid="{D5CDD505-2E9C-101B-9397-08002B2CF9AE}" pid="4" name="KSOTemplateDocerSaveRecord">
    <vt:lpwstr>eyJoZGlkIjoiMTFjYTlmOWI5OTk1NmY4OGMxZjdhZTRmYjg5MTYwMzciLCJ1c2VySWQiOiI2ODMzNjkzNTYifQ==</vt:lpwstr>
  </property>
</Properties>
</file>